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45D167CD"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30786A">
        <w:rPr>
          <w:b/>
          <w:sz w:val="24"/>
          <w:szCs w:val="24"/>
          <w:lang w:bidi="ps-AF"/>
        </w:rPr>
        <w:t>2</w:t>
      </w:r>
      <w:r w:rsidR="001C0B9D">
        <w:rPr>
          <w:b/>
          <w:sz w:val="24"/>
          <w:szCs w:val="24"/>
          <w:lang w:bidi="ps-AF"/>
        </w:rPr>
        <w:t>6</w:t>
      </w:r>
      <w:r w:rsidR="00617192" w:rsidRPr="00617192">
        <w:rPr>
          <w:b/>
          <w:sz w:val="22"/>
          <w:szCs w:val="22"/>
          <w:vertAlign w:val="superscript"/>
          <w:lang w:bidi="ps-AF"/>
        </w:rPr>
        <w:t>th</w:t>
      </w:r>
      <w:r w:rsidR="002A6652">
        <w:rPr>
          <w:b/>
          <w:sz w:val="24"/>
          <w:szCs w:val="24"/>
          <w:lang w:bidi="ps-AF"/>
        </w:rPr>
        <w:t xml:space="preserve"> </w:t>
      </w:r>
      <w:r w:rsidR="001C0B9D">
        <w:rPr>
          <w:b/>
          <w:sz w:val="24"/>
          <w:szCs w:val="24"/>
          <w:lang w:bidi="ps-AF"/>
        </w:rPr>
        <w:t>Oct</w:t>
      </w:r>
      <w:r w:rsidR="002A6652">
        <w:rPr>
          <w:b/>
          <w:sz w:val="24"/>
          <w:szCs w:val="24"/>
        </w:rPr>
        <w:t xml:space="preserve"> </w:t>
      </w:r>
      <w:r w:rsidR="009E0907">
        <w:rPr>
          <w:b/>
          <w:sz w:val="24"/>
          <w:szCs w:val="24"/>
        </w:rPr>
        <w:t>202</w:t>
      </w:r>
      <w:r w:rsidR="001C0B9D">
        <w:rPr>
          <w:b/>
          <w:sz w:val="24"/>
          <w:szCs w:val="24"/>
        </w:rPr>
        <w:t>3</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Shahr-e-Naw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Sherpure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2F597D56" w14:textId="2006DDEA" w:rsidR="009450DE" w:rsidRPr="001C0B9D" w:rsidRDefault="001C0B9D" w:rsidP="00381E87">
      <w:pPr>
        <w:spacing w:line="259" w:lineRule="auto"/>
        <w:jc w:val="both"/>
        <w:rPr>
          <w:rFonts w:ascii="Arial" w:hAnsi="Arial" w:cs="Arial"/>
          <w:b/>
          <w:bCs/>
          <w:color w:val="000000" w:themeColor="text1"/>
          <w:shd w:val="clear" w:color="auto" w:fill="FFFFFF"/>
        </w:rPr>
      </w:pPr>
      <w:r w:rsidRPr="001C0B9D">
        <w:rPr>
          <w:rFonts w:ascii="Arial" w:hAnsi="Arial" w:cs="Arial"/>
          <w:b/>
          <w:bCs/>
          <w:color w:val="000000" w:themeColor="text1"/>
          <w:shd w:val="clear" w:color="auto" w:fill="FFFFFF"/>
        </w:rPr>
        <w:t>RFQ 003/ Renting of Vehicles In Bamyan/Oct 2023</w:t>
      </w:r>
    </w:p>
    <w:p w14:paraId="427C2F6D" w14:textId="77777777" w:rsidR="001C0B9D" w:rsidRPr="00381E87" w:rsidRDefault="001C0B9D" w:rsidP="00381E87">
      <w:pPr>
        <w:spacing w:line="259" w:lineRule="auto"/>
        <w:jc w:val="both"/>
        <w:rPr>
          <w:sz w:val="24"/>
          <w:szCs w:val="24"/>
        </w:rPr>
      </w:pP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742579CC" w:rsidR="009450DE" w:rsidRPr="00381E87" w:rsidRDefault="001C0B9D" w:rsidP="00381E87">
            <w:pPr>
              <w:spacing w:line="259" w:lineRule="auto"/>
              <w:jc w:val="both"/>
              <w:rPr>
                <w:sz w:val="24"/>
                <w:szCs w:val="24"/>
              </w:rPr>
            </w:pPr>
            <w:r>
              <w:rPr>
                <w:sz w:val="24"/>
                <w:szCs w:val="24"/>
              </w:rPr>
              <w:t>Bamyan</w:t>
            </w:r>
            <w:r w:rsidR="00381E87" w:rsidRPr="00381E87">
              <w:rPr>
                <w:sz w:val="24"/>
                <w:szCs w:val="24"/>
              </w:rPr>
              <w:t xml:space="preserve"> </w:t>
            </w:r>
            <w:r w:rsidR="00617192">
              <w:rPr>
                <w:sz w:val="24"/>
                <w:szCs w:val="24"/>
              </w:rPr>
              <w:t>Province</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4D75674A" w:rsidR="009450DE" w:rsidRPr="00381E87" w:rsidRDefault="006E437E" w:rsidP="00381E87">
            <w:pPr>
              <w:spacing w:line="259" w:lineRule="auto"/>
              <w:jc w:val="both"/>
              <w:rPr>
                <w:sz w:val="24"/>
                <w:szCs w:val="24"/>
              </w:rPr>
            </w:pPr>
            <w:r>
              <w:rPr>
                <w:sz w:val="24"/>
                <w:szCs w:val="24"/>
              </w:rPr>
              <w:t>Euro</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60047454"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6E437E" w:rsidRPr="006E437E">
        <w:rPr>
          <w:sz w:val="24"/>
          <w:szCs w:val="24"/>
        </w:rPr>
        <w:t>788225531</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5B523" w14:textId="77777777" w:rsidR="00B1071F" w:rsidRDefault="00B1071F">
      <w:r>
        <w:separator/>
      </w:r>
    </w:p>
  </w:endnote>
  <w:endnote w:type="continuationSeparator" w:id="0">
    <w:p w14:paraId="69B3F3A3" w14:textId="77777777" w:rsidR="00B1071F" w:rsidRDefault="00B1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9599" w14:textId="77777777" w:rsidR="00B1071F" w:rsidRDefault="00B1071F">
      <w:r>
        <w:separator/>
      </w:r>
    </w:p>
  </w:footnote>
  <w:footnote w:type="continuationSeparator" w:id="0">
    <w:p w14:paraId="1BEDD4DD" w14:textId="77777777" w:rsidR="00B1071F" w:rsidRDefault="00B10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rwUAEkoANSw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210B7F"/>
    <w:rsid w:val="0029514E"/>
    <w:rsid w:val="002A6652"/>
    <w:rsid w:val="0030786A"/>
    <w:rsid w:val="00324BFF"/>
    <w:rsid w:val="00370ED0"/>
    <w:rsid w:val="00381E87"/>
    <w:rsid w:val="00395C7E"/>
    <w:rsid w:val="003D1269"/>
    <w:rsid w:val="00406875"/>
    <w:rsid w:val="00414623"/>
    <w:rsid w:val="004174B9"/>
    <w:rsid w:val="00417B4E"/>
    <w:rsid w:val="00421FD6"/>
    <w:rsid w:val="00424089"/>
    <w:rsid w:val="00472811"/>
    <w:rsid w:val="004B0940"/>
    <w:rsid w:val="005005CC"/>
    <w:rsid w:val="00513106"/>
    <w:rsid w:val="00514D19"/>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A1E3C"/>
    <w:rsid w:val="00AD3BDC"/>
    <w:rsid w:val="00B1071F"/>
    <w:rsid w:val="00B24F77"/>
    <w:rsid w:val="00B456EB"/>
    <w:rsid w:val="00B822A7"/>
    <w:rsid w:val="00BB52FD"/>
    <w:rsid w:val="00BD11CD"/>
    <w:rsid w:val="00BE3C2B"/>
    <w:rsid w:val="00BE70E1"/>
    <w:rsid w:val="00C0566B"/>
    <w:rsid w:val="00C13079"/>
    <w:rsid w:val="00C32D90"/>
    <w:rsid w:val="00C33331"/>
    <w:rsid w:val="00C80AB3"/>
    <w:rsid w:val="00CA3D66"/>
    <w:rsid w:val="00CC44AC"/>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21</cp:revision>
  <cp:lastPrinted>2022-03-16T07:54:00Z</cp:lastPrinted>
  <dcterms:created xsi:type="dcterms:W3CDTF">2022-03-16T07:53:00Z</dcterms:created>
  <dcterms:modified xsi:type="dcterms:W3CDTF">2023-10-17T09:46:00Z</dcterms:modified>
</cp:coreProperties>
</file>